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266FA1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8A69F3">
        <w:rPr>
          <w:rFonts w:ascii="Tahoma" w:hAnsi="Tahoma" w:cs="Tahoma"/>
          <w:b/>
          <w:bCs/>
        </w:rPr>
        <w:t>3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266FA1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69F3">
        <w:rPr>
          <w:rFonts w:ascii="Tahoma" w:hAnsi="Tahoma" w:cs="Tahoma"/>
          <w:b/>
          <w:bCs/>
          <w:sz w:val="22"/>
          <w:szCs w:val="22"/>
        </w:rPr>
        <w:t>3</w:t>
      </w:r>
    </w:p>
    <w:p w:rsidR="00562EE5" w:rsidRPr="00D578E6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r w:rsidRPr="00D578E6">
        <w:rPr>
          <w:rFonts w:ascii="Tahoma" w:hAnsi="Tahoma" w:cs="Tahoma"/>
          <w:b/>
          <w:bCs/>
          <w:sz w:val="22"/>
          <w:szCs w:val="22"/>
        </w:rPr>
        <w:t xml:space="preserve">Dla Wykonawców składających ofertę w postaci </w:t>
      </w:r>
      <w:r w:rsidR="00266FA1" w:rsidRPr="00D578E6">
        <w:rPr>
          <w:rFonts w:ascii="Tahoma" w:hAnsi="Tahoma" w:cs="Tahoma"/>
          <w:b/>
          <w:bCs/>
          <w:sz w:val="22"/>
          <w:szCs w:val="22"/>
        </w:rPr>
        <w:t>elektronicznej</w:t>
      </w:r>
    </w:p>
    <w:bookmarkEnd w:id="0"/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>remont</w:t>
      </w:r>
      <w:r w:rsidR="008A69F3">
        <w:rPr>
          <w:rFonts w:ascii="Tahoma" w:hAnsi="Tahoma" w:cs="Tahoma"/>
          <w:b/>
        </w:rPr>
        <w:t>y cząstkowe</w:t>
      </w:r>
      <w:r w:rsidR="00591F98">
        <w:rPr>
          <w:rFonts w:ascii="Tahoma" w:hAnsi="Tahoma" w:cs="Tahoma"/>
          <w:b/>
        </w:rPr>
        <w:t xml:space="preserve"> dróg gminnych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ab/>
        <w:t>Dla celów obliczenia ceny przyjęto następującą stawkę jednostkową: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3110"/>
        <w:gridCol w:w="2410"/>
        <w:gridCol w:w="1701"/>
        <w:gridCol w:w="1667"/>
      </w:tblGrid>
      <w:tr w:rsidR="008A69F3" w:rsidTr="008A69F3">
        <w:tc>
          <w:tcPr>
            <w:tcW w:w="31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Elementy składowe ceny</w:t>
            </w:r>
          </w:p>
        </w:tc>
        <w:tc>
          <w:tcPr>
            <w:tcW w:w="24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701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wielkość szacunkowa zamówienia</w:t>
            </w:r>
          </w:p>
        </w:tc>
        <w:tc>
          <w:tcPr>
            <w:tcW w:w="1667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wartość zamówienia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8A69F3">
              <w:rPr>
                <w:rFonts w:ascii="Tahoma" w:hAnsi="Tahoma" w:cs="Tahoma"/>
                <w:bCs/>
                <w:sz w:val="16"/>
                <w:szCs w:val="16"/>
              </w:rPr>
              <w:t>(kol. 2 x kol. 3)</w:t>
            </w:r>
          </w:p>
        </w:tc>
      </w:tr>
      <w:tr w:rsidR="008A69F3" w:rsidTr="008A69F3">
        <w:tc>
          <w:tcPr>
            <w:tcW w:w="31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  <w:r w:rsidRPr="009867A4">
              <w:rPr>
                <w:rFonts w:ascii="Tahoma" w:hAnsi="Tahoma" w:cs="Tahoma"/>
              </w:rPr>
              <w:t>Remonty cząstkowe nawierzchni bitumicznej mieszankami mineralno – bitumicznymi na gorąco</w:t>
            </w:r>
          </w:p>
        </w:tc>
        <w:tc>
          <w:tcPr>
            <w:tcW w:w="24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550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67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</w:tr>
    </w:tbl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96008D">
        <w:rPr>
          <w:rFonts w:ascii="Tahoma" w:hAnsi="Tahoma" w:cs="Tahoma"/>
          <w:i/>
          <w:sz w:val="16"/>
          <w:szCs w:val="16"/>
        </w:rPr>
        <w:t>12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96008D">
        <w:rPr>
          <w:rFonts w:ascii="Tahoma" w:hAnsi="Tahoma" w:cs="Tahoma"/>
          <w:i/>
          <w:sz w:val="16"/>
          <w:szCs w:val="16"/>
        </w:rPr>
        <w:t>18</w:t>
      </w:r>
      <w:r w:rsidR="00562EE5">
        <w:rPr>
          <w:rFonts w:ascii="Tahoma" w:hAnsi="Tahoma" w:cs="Tahoma"/>
          <w:i/>
          <w:sz w:val="16"/>
          <w:szCs w:val="16"/>
        </w:rPr>
        <w:t xml:space="preserve">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96008D">
        <w:rPr>
          <w:rFonts w:ascii="Tahoma" w:hAnsi="Tahoma" w:cs="Tahoma"/>
          <w:i/>
          <w:sz w:val="16"/>
          <w:szCs w:val="16"/>
        </w:rPr>
        <w:t>18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="000205A8"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="000205A8"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="000205A8"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266FA1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D1C" w:rsidRDefault="00DF0D1C" w:rsidP="00C235FD">
      <w:r>
        <w:separator/>
      </w:r>
    </w:p>
  </w:endnote>
  <w:endnote w:type="continuationSeparator" w:id="0">
    <w:p w:rsidR="00DF0D1C" w:rsidRDefault="00DF0D1C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D1C" w:rsidRDefault="00DF0D1C" w:rsidP="00C235FD">
      <w:r>
        <w:separator/>
      </w:r>
    </w:p>
  </w:footnote>
  <w:footnote w:type="continuationSeparator" w:id="0">
    <w:p w:rsidR="00DF0D1C" w:rsidRDefault="00DF0D1C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05A8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66FA1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9F3"/>
    <w:rsid w:val="008A6CDF"/>
    <w:rsid w:val="008B3A2B"/>
    <w:rsid w:val="008B7391"/>
    <w:rsid w:val="008D1013"/>
    <w:rsid w:val="008D19F8"/>
    <w:rsid w:val="008D3BDB"/>
    <w:rsid w:val="0096008D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578E6"/>
    <w:rsid w:val="00D635FC"/>
    <w:rsid w:val="00D72EA5"/>
    <w:rsid w:val="00D8354A"/>
    <w:rsid w:val="00DA2C10"/>
    <w:rsid w:val="00DA5381"/>
    <w:rsid w:val="00DB489E"/>
    <w:rsid w:val="00DD1421"/>
    <w:rsid w:val="00DF0D1C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5C147-9646-43D8-8656-E0D65C44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33</cp:revision>
  <cp:lastPrinted>2019-09-24T07:23:00Z</cp:lastPrinted>
  <dcterms:created xsi:type="dcterms:W3CDTF">2019-02-11T14:01:00Z</dcterms:created>
  <dcterms:modified xsi:type="dcterms:W3CDTF">2020-11-06T07:05:00Z</dcterms:modified>
</cp:coreProperties>
</file>