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2A1AAB64" w:rsidR="00816D47" w:rsidRPr="00C8720D" w:rsidRDefault="00816D47" w:rsidP="005F2424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  <w:r w:rsidR="005F2424">
        <w:rPr>
          <w:rFonts w:ascii="Tahoma" w:hAnsi="Tahoma" w:cs="Tahoma"/>
          <w:sz w:val="16"/>
          <w:szCs w:val="16"/>
          <w:lang w:val="en-US"/>
        </w:rPr>
        <w:tab/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1183EE31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F2424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561E887B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8A16E4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8A16E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8A16E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7575AD">
        <w:rPr>
          <w:rFonts w:ascii="Tahoma" w:hAnsi="Tahoma" w:cs="Tahoma"/>
          <w:i/>
          <w:sz w:val="16"/>
          <w:szCs w:val="16"/>
        </w:rPr>
        <w:t>8</w:t>
      </w:r>
      <w:r w:rsidR="008A16E4">
        <w:rPr>
          <w:rFonts w:ascii="Tahoma" w:hAnsi="Tahoma" w:cs="Tahoma"/>
          <w:i/>
          <w:sz w:val="16"/>
          <w:szCs w:val="16"/>
        </w:rPr>
        <w:t>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8A16E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3B272F7F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8A16E4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C5D9AB3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F242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47276B08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 xml:space="preserve">art. 125 ust. 1 ustawy </w:t>
      </w:r>
      <w:proofErr w:type="spellStart"/>
      <w:r w:rsidR="004728E0"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 w:rsidR="00AE20FB">
        <w:rPr>
          <w:rFonts w:ascii="Tahoma" w:hAnsi="Tahoma" w:cs="Tahoma"/>
          <w:sz w:val="16"/>
          <w:szCs w:val="16"/>
        </w:rPr>
        <w:t>Pzp</w:t>
      </w:r>
      <w:proofErr w:type="spellEnd"/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31A1FF4A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tego podmiotu wymienione w pkt 1</w:t>
      </w:r>
      <w:r>
        <w:rPr>
          <w:rFonts w:ascii="Tahoma" w:eastAsia="Arial" w:hAnsi="Tahoma" w:cs="Tahoma"/>
          <w:color w:val="000000"/>
          <w:sz w:val="16"/>
          <w:szCs w:val="16"/>
        </w:rPr>
        <w:t>-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3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B779ED" w:rsidSect="005F24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C7C8B" w14:textId="77777777" w:rsidR="00A91B8D" w:rsidRDefault="00A91B8D" w:rsidP="00DA5839">
      <w:r>
        <w:separator/>
      </w:r>
    </w:p>
  </w:endnote>
  <w:endnote w:type="continuationSeparator" w:id="0">
    <w:p w14:paraId="2FCDC33D" w14:textId="77777777" w:rsidR="00A91B8D" w:rsidRDefault="00A91B8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A91B8D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8E5F4" w14:textId="77777777" w:rsidR="00A91B8D" w:rsidRDefault="00A91B8D" w:rsidP="00DA5839">
      <w:r>
        <w:separator/>
      </w:r>
    </w:p>
  </w:footnote>
  <w:footnote w:type="continuationSeparator" w:id="0">
    <w:p w14:paraId="2B9C8E44" w14:textId="77777777" w:rsidR="00A91B8D" w:rsidRDefault="00A91B8D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08685FA0" w:rsidR="00EB685A" w:rsidRDefault="005F242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27292178" wp14:editId="46564CC2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250E36B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5F2424">
      <w:rPr>
        <w:rFonts w:ascii="Tahoma" w:hAnsi="Tahoma" w:cs="Tahoma"/>
      </w:rPr>
      <w:t>5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5A44E34A" w:rsidR="00FF2BB6" w:rsidRDefault="005F2424" w:rsidP="00EB685A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1FD06B65" wp14:editId="4012179E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CDEF9A" w14:textId="335529B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5F242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102F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424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6E4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B8D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D4B5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77E7D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2022-05-06T09:34:00Z</dcterms:modified>
</cp:coreProperties>
</file>