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0CFDD" w14:textId="59BF931C" w:rsidR="00926B96" w:rsidRPr="00926B96" w:rsidRDefault="00926B96" w:rsidP="00926B96">
      <w:pPr>
        <w:jc w:val="right"/>
        <w:rPr>
          <w:rFonts w:ascii="Tahoma" w:hAnsi="Tahoma" w:cs="Tahoma"/>
          <w:sz w:val="20"/>
          <w:szCs w:val="20"/>
        </w:rPr>
      </w:pPr>
      <w:r w:rsidRPr="0062535C">
        <w:rPr>
          <w:rFonts w:ascii="Tahoma" w:hAnsi="Tahoma" w:cs="Tahoma"/>
          <w:b/>
          <w:bCs/>
          <w:sz w:val="20"/>
          <w:szCs w:val="20"/>
        </w:rPr>
        <w:t xml:space="preserve">Zał. nr 1 do </w:t>
      </w:r>
      <w:proofErr w:type="spellStart"/>
      <w:r w:rsidRPr="0062535C">
        <w:rPr>
          <w:rFonts w:ascii="Tahoma" w:hAnsi="Tahoma" w:cs="Tahoma"/>
          <w:b/>
          <w:bCs/>
          <w:sz w:val="20"/>
          <w:szCs w:val="20"/>
        </w:rPr>
        <w:t>swz</w:t>
      </w:r>
      <w:proofErr w:type="spellEnd"/>
      <w:r w:rsidRPr="0062535C">
        <w:rPr>
          <w:rFonts w:ascii="Tahoma" w:hAnsi="Tahoma" w:cs="Tahoma"/>
          <w:b/>
          <w:bCs/>
          <w:sz w:val="20"/>
          <w:szCs w:val="20"/>
        </w:rPr>
        <w:t xml:space="preserve"> dla cz. 1</w:t>
      </w:r>
    </w:p>
    <w:p w14:paraId="257B793B" w14:textId="66C00904" w:rsidR="00926B96" w:rsidRPr="00926B96" w:rsidRDefault="00926B96" w:rsidP="00926B9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26B96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14:paraId="7026BE6F" w14:textId="596770E0" w:rsidR="00926B96" w:rsidRPr="00926B96" w:rsidRDefault="00926B96" w:rsidP="00926B9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26B96">
        <w:rPr>
          <w:rFonts w:ascii="Tahoma" w:hAnsi="Tahoma" w:cs="Tahoma"/>
          <w:b/>
          <w:bCs/>
          <w:sz w:val="20"/>
          <w:szCs w:val="20"/>
        </w:rPr>
        <w:t xml:space="preserve">CZĘŚĆ 1 </w:t>
      </w:r>
      <w:r w:rsidR="00002F0C">
        <w:rPr>
          <w:rFonts w:ascii="Tahoma" w:hAnsi="Tahoma" w:cs="Tahoma"/>
          <w:b/>
          <w:bCs/>
          <w:sz w:val="20"/>
          <w:szCs w:val="20"/>
        </w:rPr>
        <w:t>–</w:t>
      </w:r>
      <w:r w:rsidRPr="00926B9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02F0C">
        <w:rPr>
          <w:rFonts w:ascii="Tahoma" w:hAnsi="Tahoma" w:cs="Tahoma"/>
          <w:b/>
          <w:bCs/>
          <w:sz w:val="20"/>
          <w:szCs w:val="20"/>
        </w:rPr>
        <w:t xml:space="preserve">ZAKUP I DOSTAWA </w:t>
      </w:r>
      <w:r w:rsidRPr="00926B96">
        <w:rPr>
          <w:rFonts w:ascii="Tahoma" w:hAnsi="Tahoma" w:cs="Tahoma"/>
          <w:b/>
          <w:bCs/>
          <w:sz w:val="20"/>
          <w:szCs w:val="20"/>
        </w:rPr>
        <w:t>SKANER</w:t>
      </w:r>
      <w:r w:rsidR="00002F0C">
        <w:rPr>
          <w:rFonts w:ascii="Tahoma" w:hAnsi="Tahoma" w:cs="Tahoma"/>
          <w:b/>
          <w:bCs/>
          <w:sz w:val="20"/>
          <w:szCs w:val="20"/>
        </w:rPr>
        <w:t>A</w:t>
      </w:r>
    </w:p>
    <w:p w14:paraId="10312A92" w14:textId="77777777" w:rsidR="00926B96" w:rsidRDefault="00926B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836"/>
        <w:gridCol w:w="7620"/>
      </w:tblGrid>
      <w:tr w:rsidR="0062535C" w:rsidRPr="0062535C" w14:paraId="36B0476B" w14:textId="77777777" w:rsidTr="00EE6404">
        <w:trPr>
          <w:trHeight w:val="416"/>
        </w:trPr>
        <w:tc>
          <w:tcPr>
            <w:tcW w:w="0" w:type="auto"/>
            <w:gridSpan w:val="2"/>
            <w:shd w:val="clear" w:color="auto" w:fill="D9D9D9" w:themeFill="background1" w:themeFillShade="D9"/>
            <w:vAlign w:val="center"/>
          </w:tcPr>
          <w:p w14:paraId="60EB1C79" w14:textId="77777777" w:rsidR="0062535C" w:rsidRPr="0062535C" w:rsidRDefault="0062535C" w:rsidP="0062535C">
            <w:pPr>
              <w:jc w:val="center"/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Minimalne wymagania Techniczne</w:t>
            </w:r>
          </w:p>
        </w:tc>
      </w:tr>
      <w:tr w:rsidR="0062535C" w:rsidRPr="0062535C" w14:paraId="53A59827" w14:textId="77777777" w:rsidTr="00EE6404">
        <w:trPr>
          <w:trHeight w:val="273"/>
        </w:trPr>
        <w:tc>
          <w:tcPr>
            <w:tcW w:w="0" w:type="auto"/>
            <w:vAlign w:val="center"/>
          </w:tcPr>
          <w:p w14:paraId="23B09835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Typ skanera (obudowa)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BF5E8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Kompaktowy skaner A3 z automatycznym podajnikiem dokumentów (ADF)</w:t>
            </w:r>
          </w:p>
        </w:tc>
      </w:tr>
      <w:tr w:rsidR="0062535C" w:rsidRPr="0062535C" w14:paraId="448D6C59" w14:textId="77777777" w:rsidTr="00EE6404">
        <w:trPr>
          <w:trHeight w:val="280"/>
        </w:trPr>
        <w:tc>
          <w:tcPr>
            <w:tcW w:w="0" w:type="auto"/>
            <w:vAlign w:val="center"/>
          </w:tcPr>
          <w:p w14:paraId="12CAE5F7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Sposoby skanowania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E4E763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Simpleks/Dupleks w jednym przebiegu</w:t>
            </w:r>
          </w:p>
        </w:tc>
      </w:tr>
      <w:tr w:rsidR="0062535C" w:rsidRPr="0062535C" w14:paraId="10D9F3EA" w14:textId="77777777" w:rsidTr="00EE6404">
        <w:trPr>
          <w:trHeight w:val="310"/>
        </w:trPr>
        <w:tc>
          <w:tcPr>
            <w:tcW w:w="0" w:type="auto"/>
            <w:vAlign w:val="center"/>
          </w:tcPr>
          <w:p w14:paraId="008272B2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Podajnik Dokumentów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76BA68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Automatyczny podajnik dokumentów o pojemności co najmniej 100 arkuszy formatu A4 o gramaturze 80 g/m</w:t>
            </w: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vertAlign w:val="superscript"/>
                <w:lang w:eastAsia="pl-PL"/>
              </w:rPr>
              <w:t xml:space="preserve">2 </w:t>
            </w:r>
          </w:p>
        </w:tc>
      </w:tr>
      <w:tr w:rsidR="0062535C" w:rsidRPr="0062535C" w14:paraId="41C99F76" w14:textId="77777777" w:rsidTr="00EE6404">
        <w:trPr>
          <w:trHeight w:val="435"/>
        </w:trPr>
        <w:tc>
          <w:tcPr>
            <w:tcW w:w="0" w:type="auto"/>
            <w:vAlign w:val="center"/>
          </w:tcPr>
          <w:p w14:paraId="146F059B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Obsługiwane formaty (nie złożone na pół)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36BFE0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Minimum w zakresie A3, A4, A5, A6, B5, B6</w:t>
            </w:r>
          </w:p>
          <w:p w14:paraId="096BA4D2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Minimalny rozmiar papieru: 50.8 x 69 mm</w:t>
            </w:r>
          </w:p>
          <w:p w14:paraId="019EBD1C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Maksymalny rozmiar papieru: 300 x 430 mm</w:t>
            </w:r>
          </w:p>
        </w:tc>
      </w:tr>
      <w:tr w:rsidR="0062535C" w:rsidRPr="0062535C" w14:paraId="471D189F" w14:textId="77777777" w:rsidTr="00EE6404">
        <w:trPr>
          <w:trHeight w:val="432"/>
        </w:trPr>
        <w:tc>
          <w:tcPr>
            <w:tcW w:w="0" w:type="auto"/>
            <w:vAlign w:val="center"/>
          </w:tcPr>
          <w:p w14:paraId="6EF73EF5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Obsługa długich dokumentów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3735F1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do 550 cm </w:t>
            </w:r>
          </w:p>
        </w:tc>
      </w:tr>
      <w:tr w:rsidR="0062535C" w:rsidRPr="0062535C" w14:paraId="41D49F95" w14:textId="77777777" w:rsidTr="00EE6404">
        <w:trPr>
          <w:trHeight w:val="432"/>
        </w:trPr>
        <w:tc>
          <w:tcPr>
            <w:tcW w:w="0" w:type="auto"/>
            <w:vAlign w:val="center"/>
          </w:tcPr>
          <w:p w14:paraId="42465CD6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Gramatura obsługiwanych dokumentów w trybie podawania automatycznego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445C0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val="en-US" w:eastAsia="pl-PL"/>
              </w:rPr>
              <w:t>30 – 413 g/m</w:t>
            </w: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vertAlign w:val="superscript"/>
                <w:lang w:val="en-US" w:eastAsia="pl-PL"/>
              </w:rPr>
              <w:t>2</w:t>
            </w:r>
          </w:p>
        </w:tc>
      </w:tr>
      <w:tr w:rsidR="0062535C" w:rsidRPr="0062535C" w14:paraId="7D148885" w14:textId="77777777" w:rsidTr="00EE6404">
        <w:trPr>
          <w:trHeight w:val="432"/>
        </w:trPr>
        <w:tc>
          <w:tcPr>
            <w:tcW w:w="0" w:type="auto"/>
          </w:tcPr>
          <w:p w14:paraId="14FADFE3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Obsługa niestandardowych nośników</w:t>
            </w:r>
          </w:p>
        </w:tc>
        <w:tc>
          <w:tcPr>
            <w:tcW w:w="0" w:type="auto"/>
            <w:shd w:val="clear" w:color="auto" w:fill="auto"/>
          </w:tcPr>
          <w:p w14:paraId="776BC940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Karty plastikowe oraz ID do grubości 1.4mm, dokumenty do formatu A2 złożone na pół </w:t>
            </w:r>
          </w:p>
        </w:tc>
      </w:tr>
      <w:tr w:rsidR="0062535C" w:rsidRPr="0062535C" w14:paraId="4668DDB1" w14:textId="77777777" w:rsidTr="00EE6404">
        <w:trPr>
          <w:trHeight w:val="450"/>
        </w:trPr>
        <w:tc>
          <w:tcPr>
            <w:tcW w:w="0" w:type="auto"/>
            <w:vAlign w:val="center"/>
          </w:tcPr>
          <w:p w14:paraId="17C6424A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val="en-US"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Detekcja podwójnych pobrań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9E0FC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Co najmniej jeden czujnik ultradźwiękowy z funkcją automatycznego zachowania obrazu dla umyślnie nałożonych obiektów (takich jak przyklejone notatki lub przymocowane taśmą paragony) zgodnie z ustawionym wzorcem</w:t>
            </w:r>
          </w:p>
        </w:tc>
      </w:tr>
      <w:tr w:rsidR="0062535C" w:rsidRPr="0062535C" w14:paraId="45B000C3" w14:textId="77777777" w:rsidTr="00EE6404">
        <w:trPr>
          <w:trHeight w:val="450"/>
        </w:trPr>
        <w:tc>
          <w:tcPr>
            <w:tcW w:w="0" w:type="auto"/>
          </w:tcPr>
          <w:p w14:paraId="400DA758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Ochrona skanowanych dokumentów</w:t>
            </w:r>
          </w:p>
        </w:tc>
        <w:tc>
          <w:tcPr>
            <w:tcW w:w="0" w:type="auto"/>
            <w:shd w:val="clear" w:color="auto" w:fill="auto"/>
          </w:tcPr>
          <w:p w14:paraId="66D99EDA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Aktywna inteligentna funkcja ochrony dokumentów oparta na czujniku akustycznym rozpoznającym dźwięki uszkodzeń papieru.</w:t>
            </w:r>
          </w:p>
        </w:tc>
      </w:tr>
      <w:tr w:rsidR="0062535C" w:rsidRPr="0062535C" w14:paraId="0319B595" w14:textId="77777777" w:rsidTr="00EE6404">
        <w:trPr>
          <w:trHeight w:val="391"/>
        </w:trPr>
        <w:tc>
          <w:tcPr>
            <w:tcW w:w="0" w:type="auto"/>
            <w:vAlign w:val="center"/>
          </w:tcPr>
          <w:p w14:paraId="0C1A2471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Szybkość skanowania (dla dokumentów A4 przy 200 oraz 300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dpi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 w trybach mono i kolor)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4B03B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Minimum 60 arkuszy/min., 120 obrazów/min</w:t>
            </w:r>
          </w:p>
        </w:tc>
      </w:tr>
      <w:tr w:rsidR="0062535C" w:rsidRPr="0062535C" w14:paraId="1E270FEA" w14:textId="77777777" w:rsidTr="00EE6404">
        <w:trPr>
          <w:trHeight w:val="434"/>
        </w:trPr>
        <w:tc>
          <w:tcPr>
            <w:tcW w:w="0" w:type="auto"/>
            <w:vAlign w:val="center"/>
          </w:tcPr>
          <w:p w14:paraId="0C57C90F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Typowe dzienne obciążenie skanera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C8F336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minimum do 15 000 arkuszy (kartek)</w:t>
            </w:r>
          </w:p>
        </w:tc>
      </w:tr>
      <w:tr w:rsidR="0062535C" w:rsidRPr="0062535C" w14:paraId="5A958370" w14:textId="77777777" w:rsidTr="00EE6404">
        <w:trPr>
          <w:trHeight w:val="273"/>
        </w:trPr>
        <w:tc>
          <w:tcPr>
            <w:tcW w:w="0" w:type="auto"/>
            <w:vAlign w:val="center"/>
          </w:tcPr>
          <w:p w14:paraId="5B9A3C2A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Układ optyczny (przetwornik obrazu)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309A3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Wykonany min.: w technologii kolorowy CCD (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Charge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Coupled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 Device) - 1 z przodu, 1 z tyłu </w:t>
            </w:r>
          </w:p>
        </w:tc>
      </w:tr>
      <w:tr w:rsidR="0062535C" w:rsidRPr="0062535C" w14:paraId="0CC5E08F" w14:textId="77777777" w:rsidTr="00EE6404">
        <w:trPr>
          <w:trHeight w:val="374"/>
        </w:trPr>
        <w:tc>
          <w:tcPr>
            <w:tcW w:w="0" w:type="auto"/>
            <w:vAlign w:val="center"/>
          </w:tcPr>
          <w:p w14:paraId="34E035A2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Optyczna rozdzielczość skanowania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764871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optyczna 600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dpi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, sterownik 1200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dpi</w:t>
            </w:r>
            <w:proofErr w:type="spellEnd"/>
          </w:p>
        </w:tc>
      </w:tr>
      <w:tr w:rsidR="0062535C" w:rsidRPr="0062535C" w14:paraId="272CC3DA" w14:textId="77777777" w:rsidTr="00EE6404">
        <w:trPr>
          <w:trHeight w:val="374"/>
        </w:trPr>
        <w:tc>
          <w:tcPr>
            <w:tcW w:w="0" w:type="auto"/>
            <w:vAlign w:val="center"/>
          </w:tcPr>
          <w:p w14:paraId="1E4488B2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Wyjściowa rozdzielczość skanowania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CD7BA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60-600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dpi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 z możliwością skokowej regulacji co 1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dpi</w:t>
            </w:r>
            <w:proofErr w:type="spellEnd"/>
          </w:p>
        </w:tc>
      </w:tr>
      <w:tr w:rsidR="0062535C" w:rsidRPr="0062535C" w14:paraId="45A92CD7" w14:textId="77777777" w:rsidTr="00EE6404">
        <w:trPr>
          <w:trHeight w:val="131"/>
        </w:trPr>
        <w:tc>
          <w:tcPr>
            <w:tcW w:w="0" w:type="auto"/>
            <w:vAlign w:val="center"/>
          </w:tcPr>
          <w:p w14:paraId="7B624E65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Tryby koloru skanowania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66E7C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Monochromatyczny, odcienie szarości, kolor</w:t>
            </w:r>
          </w:p>
        </w:tc>
      </w:tr>
      <w:tr w:rsidR="0062535C" w:rsidRPr="0062535C" w14:paraId="316C345E" w14:textId="77777777" w:rsidTr="00EE6404">
        <w:trPr>
          <w:trHeight w:val="281"/>
        </w:trPr>
        <w:tc>
          <w:tcPr>
            <w:tcW w:w="0" w:type="auto"/>
            <w:vAlign w:val="center"/>
          </w:tcPr>
          <w:p w14:paraId="062A0AE0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Obsługiwane systemy operacyjne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EFF3E4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Windows 7/8.1/10/11 (32/64-bit)</w:t>
            </w:r>
          </w:p>
        </w:tc>
      </w:tr>
      <w:tr w:rsidR="0062535C" w:rsidRPr="0062535C" w14:paraId="48A3DEE1" w14:textId="77777777" w:rsidTr="00EE6404">
        <w:trPr>
          <w:trHeight w:val="281"/>
        </w:trPr>
        <w:tc>
          <w:tcPr>
            <w:tcW w:w="0" w:type="auto"/>
            <w:vAlign w:val="center"/>
          </w:tcPr>
          <w:p w14:paraId="1F21B904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Interfejsy komunikacyjne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C39123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Minimum USB 3.0</w:t>
            </w:r>
          </w:p>
        </w:tc>
      </w:tr>
      <w:tr w:rsidR="0062535C" w:rsidRPr="0062535C" w14:paraId="78C955CC" w14:textId="77777777" w:rsidTr="00EE6404">
        <w:trPr>
          <w:trHeight w:val="281"/>
        </w:trPr>
        <w:tc>
          <w:tcPr>
            <w:tcW w:w="0" w:type="auto"/>
            <w:vAlign w:val="center"/>
          </w:tcPr>
          <w:p w14:paraId="51AA3E9F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Standardy komunikacyjne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12E49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Zgodny ze standardem TWAIN oraz ISIS</w:t>
            </w:r>
          </w:p>
        </w:tc>
      </w:tr>
      <w:tr w:rsidR="0062535C" w:rsidRPr="0062535C" w14:paraId="02DF3E5A" w14:textId="77777777" w:rsidTr="00EE6404">
        <w:trPr>
          <w:trHeight w:val="281"/>
        </w:trPr>
        <w:tc>
          <w:tcPr>
            <w:tcW w:w="0" w:type="auto"/>
            <w:vAlign w:val="center"/>
          </w:tcPr>
          <w:p w14:paraId="5EED648D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Funkcje poprawy jakości skanów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74F5C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Obsługa poniższych funkcjonalności dla zarówno dla standardu TWAIN oraz ISIS:</w:t>
            </w:r>
          </w:p>
          <w:p w14:paraId="68EC69F7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automatyczna poprawa jakości skanowanych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dok,umentów</w:t>
            </w:r>
            <w:proofErr w:type="spellEnd"/>
          </w:p>
          <w:p w14:paraId="50AA1800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automatyczne prostowanie i orientacja obrazu</w:t>
            </w:r>
          </w:p>
          <w:p w14:paraId="286787BA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automatyczne przycinanie do oryginalnego rozmiaru dokumentu</w:t>
            </w:r>
          </w:p>
          <w:p w14:paraId="26CEA83D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automatyczne usuwanie niezadrukowanych stron</w:t>
            </w:r>
          </w:p>
          <w:p w14:paraId="6118F271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automatyczna detekcja koloru w oparciu o długość dokumentu oraz czułość zawartości</w:t>
            </w:r>
          </w:p>
          <w:p w14:paraId="1519C16E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automatyczna naprawa uszkodzonych lub zagiętych krawędzi dokumentu</w:t>
            </w:r>
          </w:p>
          <w:p w14:paraId="181E4D6A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interaktywna regulacja parametrów skanowania z podglądem na wynik w interfejsie graficznym sterownika z możliwością zapisu ustawień w profilu skanowania</w:t>
            </w:r>
          </w:p>
          <w:p w14:paraId="5D8C94AD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skanowanie wielostrumieniowe w jednym przebiegu z możliwością wyboru dowolnej kombinacji trybów koloru </w:t>
            </w:r>
          </w:p>
          <w:p w14:paraId="7530A163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łączenie i dzielenie obrazów</w:t>
            </w:r>
          </w:p>
          <w:p w14:paraId="65AC4C6C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redukcja pionowych smug</w:t>
            </w:r>
          </w:p>
          <w:p w14:paraId="1DFCB602" w14:textId="77777777" w:rsidR="0062535C" w:rsidRPr="0062535C" w:rsidRDefault="0062535C" w:rsidP="0062535C">
            <w:pPr>
              <w:numPr>
                <w:ilvl w:val="0"/>
                <w:numId w:val="2"/>
              </w:num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wypełnianie otworów w obrazie</w:t>
            </w:r>
          </w:p>
        </w:tc>
      </w:tr>
      <w:tr w:rsidR="0062535C" w:rsidRPr="0062535C" w14:paraId="0FDFF09C" w14:textId="77777777" w:rsidTr="00EE6404">
        <w:trPr>
          <w:trHeight w:val="281"/>
        </w:trPr>
        <w:tc>
          <w:tcPr>
            <w:tcW w:w="0" w:type="auto"/>
            <w:vAlign w:val="center"/>
          </w:tcPr>
          <w:p w14:paraId="4967AB15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lastRenderedPageBreak/>
              <w:t>Funkcje dołączonego oprogramowania obsługującego standardy TWAIN oraz ISIS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B1ACD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Detekcja i separacja przy pomocy kodów kreskowych typu 3z9, ITF, EAN128, NW7, QR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Code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Aztec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DataMatrix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, PDF417, separacja dokumentów za pomocą niezadrukowanej kartki, odczytaną wartością ze strefy OCR, tzw. "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patch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code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" (typ 1, 2, 3, 4, T) oraz na podstawie układu formularza, automatyczne nazewnictwo plików za pomocą kodów kreskowych i wartości odczytanej ze strefy OCR z tworzeniem wielopoziomowej struktury katalogów;</w:t>
            </w:r>
          </w:p>
        </w:tc>
      </w:tr>
      <w:tr w:rsidR="0062535C" w:rsidRPr="0062535C" w14:paraId="13756BD7" w14:textId="77777777" w:rsidTr="00EE6404">
        <w:trPr>
          <w:trHeight w:val="450"/>
        </w:trPr>
        <w:tc>
          <w:tcPr>
            <w:tcW w:w="0" w:type="auto"/>
            <w:vAlign w:val="center"/>
          </w:tcPr>
          <w:p w14:paraId="1D1E44C0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Funkcje dołączonego oprogramowania do zarządzania i monitoringu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403672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Działające w strukturze klient-serwer (dwukierunkowa komunikacja wyłącznie w obrębie lokalnej sieci LAN) umożliwiające scentralizowane zarządzanie i monitoring oferowanych skanerów w tym: zdalna aktualizacja sterowników, oprogramowania sprzętowego (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firmware</w:t>
            </w:r>
            <w:proofErr w:type="spellEnd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) i zdalna konfiguracja ustawień skanerów (na wielu stacjach jednocześnie), generowanie alertów o stanie skanera (błędy) i potrzebie wymiany elementów eksploatacyjnych.</w:t>
            </w:r>
          </w:p>
        </w:tc>
      </w:tr>
      <w:tr w:rsidR="0062535C" w:rsidRPr="0062535C" w14:paraId="47730B70" w14:textId="77777777" w:rsidTr="00EE6404">
        <w:trPr>
          <w:trHeight w:val="310"/>
        </w:trPr>
        <w:tc>
          <w:tcPr>
            <w:tcW w:w="0" w:type="auto"/>
            <w:vAlign w:val="center"/>
          </w:tcPr>
          <w:p w14:paraId="1AB6C1F8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Ergonomia pracy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BF6AC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Skaner ważący nie więcej niż 8 kg o ergonomicznej powierzchni podstawy urządzenia mniejszej niż 0,08 m</w:t>
            </w: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vertAlign w:val="superscript"/>
                <w:lang w:eastAsia="pl-PL"/>
              </w:rPr>
              <w:t>2</w:t>
            </w: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, maksymalny pobór mocy w trybie pracy mniejszy niż 40 W, możliwość integracji skanera z modułem drukującym realizującym automatyczny nadruk daty skanowania dokumentu po zeskanowaniu</w:t>
            </w:r>
          </w:p>
        </w:tc>
      </w:tr>
      <w:tr w:rsidR="0062535C" w:rsidRPr="0062535C" w14:paraId="323DB27D" w14:textId="77777777" w:rsidTr="00EE6404">
        <w:trPr>
          <w:trHeight w:val="310"/>
        </w:trPr>
        <w:tc>
          <w:tcPr>
            <w:tcW w:w="0" w:type="auto"/>
            <w:vAlign w:val="center"/>
          </w:tcPr>
          <w:p w14:paraId="238A9158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Materiały eksploatacyjne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6A5A7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Materiały eksploatacyjne zainstalowane w skanerze pozwalające na zeskanowanie do 200 000 arkuszy</w:t>
            </w:r>
          </w:p>
        </w:tc>
      </w:tr>
      <w:tr w:rsidR="0062535C" w:rsidRPr="0062535C" w14:paraId="0DCC2F33" w14:textId="77777777" w:rsidTr="00EE6404">
        <w:trPr>
          <w:trHeight w:val="207"/>
        </w:trPr>
        <w:tc>
          <w:tcPr>
            <w:tcW w:w="0" w:type="auto"/>
            <w:vAlign w:val="center"/>
          </w:tcPr>
          <w:p w14:paraId="03F52F71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Normy i regulacje</w:t>
            </w:r>
          </w:p>
        </w:tc>
        <w:tc>
          <w:tcPr>
            <w:tcW w:w="0" w:type="auto"/>
            <w:vAlign w:val="center"/>
          </w:tcPr>
          <w:p w14:paraId="7029C735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 xml:space="preserve">Urządzenie posiada oznakowanie CE potwierdzające zgodność z wymaganiami UE nałożonymi na producenta, spełniające kryteria Energy Star oraz </w:t>
            </w:r>
            <w:proofErr w:type="spellStart"/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RoHS</w:t>
            </w:r>
            <w:proofErr w:type="spellEnd"/>
          </w:p>
        </w:tc>
      </w:tr>
      <w:tr w:rsidR="0062535C" w:rsidRPr="0062535C" w14:paraId="0F9E31EE" w14:textId="77777777" w:rsidTr="00EE6404">
        <w:trPr>
          <w:trHeight w:val="207"/>
        </w:trPr>
        <w:tc>
          <w:tcPr>
            <w:tcW w:w="0" w:type="auto"/>
            <w:vAlign w:val="center"/>
          </w:tcPr>
          <w:p w14:paraId="6D3B5D37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0" w:type="auto"/>
            <w:vAlign w:val="center"/>
          </w:tcPr>
          <w:p w14:paraId="1973EED5" w14:textId="77777777" w:rsidR="0062535C" w:rsidRPr="0062535C" w:rsidRDefault="0062535C" w:rsidP="0062535C">
            <w:pPr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</w:pPr>
            <w:r w:rsidRPr="0062535C">
              <w:rPr>
                <w:rFonts w:ascii="Tahoma" w:eastAsia="Times New Roman" w:hAnsi="Tahoma" w:cs="Tahoma"/>
                <w:bCs/>
                <w:spacing w:val="-3"/>
                <w:sz w:val="20"/>
                <w:szCs w:val="20"/>
                <w:lang w:eastAsia="pl-PL"/>
              </w:rPr>
              <w:t>Min. 12 miesięcy</w:t>
            </w:r>
          </w:p>
        </w:tc>
      </w:tr>
    </w:tbl>
    <w:p w14:paraId="42EE350D" w14:textId="77777777" w:rsidR="0062535C" w:rsidRPr="0062535C" w:rsidRDefault="0062535C" w:rsidP="0062535C">
      <w:pP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</w:p>
    <w:p w14:paraId="47761966" w14:textId="3AEB4A5B" w:rsidR="0062535C" w:rsidRPr="0062535C" w:rsidRDefault="0062535C" w:rsidP="008674C3">
      <w:pPr>
        <w:jc w:val="both"/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  <w:r w:rsidRPr="0062535C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 xml:space="preserve">Zamawiający wymaga, aby oferowany sprzęt komputerowy był fabrycznie nowy, wcześniej nieużywany, wolny od wad </w:t>
      </w:r>
      <w:r w:rsidR="008674C3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br/>
      </w:r>
      <w:r w:rsidRPr="0062535C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>i nieobciążony prawami osób trzecich.</w:t>
      </w:r>
    </w:p>
    <w:p w14:paraId="18B94A8E" w14:textId="77777777" w:rsidR="0062535C" w:rsidRPr="0062535C" w:rsidRDefault="0062535C" w:rsidP="0062535C">
      <w:pP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</w:p>
    <w:p w14:paraId="176DDDAA" w14:textId="77777777" w:rsidR="0062535C" w:rsidRPr="0062535C" w:rsidRDefault="0062535C" w:rsidP="0062535C">
      <w:pP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  <w:r w:rsidRPr="0062535C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>Przedmiotowe środki dowodowe, które należy dołączyć do oferty tj.:</w:t>
      </w:r>
    </w:p>
    <w:p w14:paraId="3EC1DDF6" w14:textId="4BDEA17D" w:rsidR="0062535C" w:rsidRPr="0062535C" w:rsidRDefault="000357E3" w:rsidP="0062535C">
      <w:pPr>
        <w:numPr>
          <w:ilvl w:val="1"/>
          <w:numId w:val="12"/>
        </w:numP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</w:pPr>
      <w:bookmarkStart w:id="0" w:name="_Hlk108443609"/>
      <w:r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 xml:space="preserve">- </w:t>
      </w:r>
      <w:r w:rsidR="0062535C" w:rsidRPr="0062535C">
        <w:rPr>
          <w:rFonts w:ascii="Tahoma" w:eastAsia="Times New Roman" w:hAnsi="Tahoma" w:cs="Tahoma"/>
          <w:bCs/>
          <w:spacing w:val="-3"/>
          <w:sz w:val="20"/>
          <w:szCs w:val="20"/>
          <w:lang w:eastAsia="pl-PL"/>
        </w:rPr>
        <w:t>Karta katalogowa produktu</w:t>
      </w:r>
    </w:p>
    <w:bookmarkEnd w:id="0"/>
    <w:p w14:paraId="6E952EFC" w14:textId="77777777" w:rsidR="00574B6E" w:rsidRPr="0077460A" w:rsidRDefault="00574B6E" w:rsidP="00574B6E">
      <w:pPr>
        <w:rPr>
          <w:rFonts w:ascii="Gill Sans MT" w:hAnsi="Gill Sans MT"/>
        </w:rPr>
      </w:pPr>
    </w:p>
    <w:sectPr w:rsidR="00574B6E" w:rsidRPr="0077460A" w:rsidSect="001D53F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4E781" w14:textId="77777777" w:rsidR="00C94DB8" w:rsidRDefault="00C94DB8" w:rsidP="00CC042E">
      <w:r>
        <w:separator/>
      </w:r>
    </w:p>
  </w:endnote>
  <w:endnote w:type="continuationSeparator" w:id="0">
    <w:p w14:paraId="4082AA78" w14:textId="77777777" w:rsidR="00C94DB8" w:rsidRDefault="00C94DB8" w:rsidP="00CC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DEBE7" w14:textId="77777777" w:rsidR="00C94DB8" w:rsidRDefault="00C94DB8" w:rsidP="00CC042E">
      <w:r>
        <w:separator/>
      </w:r>
    </w:p>
  </w:footnote>
  <w:footnote w:type="continuationSeparator" w:id="0">
    <w:p w14:paraId="7EDB45E5" w14:textId="77777777" w:rsidR="00C94DB8" w:rsidRDefault="00C94DB8" w:rsidP="00CC0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4EDC" w14:textId="77777777" w:rsidR="00CC042E" w:rsidRDefault="00CC042E">
    <w:pPr>
      <w:pStyle w:val="Nagwek"/>
    </w:pPr>
  </w:p>
  <w:p w14:paraId="1C7EEE5B" w14:textId="095CE31C" w:rsidR="00CC042E" w:rsidRPr="00CC042E" w:rsidRDefault="00CC042E">
    <w:pPr>
      <w:pStyle w:val="Nagwek"/>
      <w:rPr>
        <w:rFonts w:ascii="Tahoma" w:hAnsi="Tahoma" w:cs="Tahoma"/>
        <w:sz w:val="16"/>
        <w:szCs w:val="16"/>
      </w:rPr>
    </w:pPr>
    <w:r w:rsidRPr="00CC042E">
      <w:rPr>
        <w:rFonts w:ascii="Tahoma" w:hAnsi="Tahoma" w:cs="Tahoma"/>
        <w:sz w:val="16"/>
        <w:szCs w:val="16"/>
      </w:rPr>
      <w:t>PI.271.10.2022</w:t>
    </w:r>
  </w:p>
  <w:p w14:paraId="02125550" w14:textId="408255DB" w:rsidR="00CC042E" w:rsidRDefault="00CC04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0793"/>
    <w:multiLevelType w:val="hybridMultilevel"/>
    <w:tmpl w:val="DCEAA872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11907179"/>
    <w:multiLevelType w:val="hybridMultilevel"/>
    <w:tmpl w:val="4BF2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5BB5"/>
    <w:multiLevelType w:val="hybridMultilevel"/>
    <w:tmpl w:val="DCEAA872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22D02F9B"/>
    <w:multiLevelType w:val="hybridMultilevel"/>
    <w:tmpl w:val="3338703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 w15:restartNumberingAfterBreak="0">
    <w:nsid w:val="24E21D55"/>
    <w:multiLevelType w:val="hybridMultilevel"/>
    <w:tmpl w:val="105E3148"/>
    <w:lvl w:ilvl="0" w:tplc="04150011">
      <w:start w:val="1"/>
      <w:numFmt w:val="decimal"/>
      <w:lvlText w:val="%1)"/>
      <w:lvlJc w:val="left"/>
      <w:pPr>
        <w:ind w:left="2373" w:hanging="360"/>
      </w:pPr>
    </w:lvl>
    <w:lvl w:ilvl="1" w:tplc="04150019" w:tentative="1">
      <w:start w:val="1"/>
      <w:numFmt w:val="lowerLetter"/>
      <w:lvlText w:val="%2."/>
      <w:lvlJc w:val="left"/>
      <w:pPr>
        <w:ind w:left="3093" w:hanging="360"/>
      </w:pPr>
    </w:lvl>
    <w:lvl w:ilvl="2" w:tplc="0415001B" w:tentative="1">
      <w:start w:val="1"/>
      <w:numFmt w:val="lowerRoman"/>
      <w:lvlText w:val="%3."/>
      <w:lvlJc w:val="right"/>
      <w:pPr>
        <w:ind w:left="3813" w:hanging="180"/>
      </w:pPr>
    </w:lvl>
    <w:lvl w:ilvl="3" w:tplc="0415000F" w:tentative="1">
      <w:start w:val="1"/>
      <w:numFmt w:val="decimal"/>
      <w:lvlText w:val="%4."/>
      <w:lvlJc w:val="left"/>
      <w:pPr>
        <w:ind w:left="4533" w:hanging="360"/>
      </w:pPr>
    </w:lvl>
    <w:lvl w:ilvl="4" w:tplc="04150019" w:tentative="1">
      <w:start w:val="1"/>
      <w:numFmt w:val="lowerLetter"/>
      <w:lvlText w:val="%5."/>
      <w:lvlJc w:val="left"/>
      <w:pPr>
        <w:ind w:left="5253" w:hanging="360"/>
      </w:pPr>
    </w:lvl>
    <w:lvl w:ilvl="5" w:tplc="0415001B" w:tentative="1">
      <w:start w:val="1"/>
      <w:numFmt w:val="lowerRoman"/>
      <w:lvlText w:val="%6."/>
      <w:lvlJc w:val="right"/>
      <w:pPr>
        <w:ind w:left="5973" w:hanging="180"/>
      </w:pPr>
    </w:lvl>
    <w:lvl w:ilvl="6" w:tplc="0415000F" w:tentative="1">
      <w:start w:val="1"/>
      <w:numFmt w:val="decimal"/>
      <w:lvlText w:val="%7."/>
      <w:lvlJc w:val="left"/>
      <w:pPr>
        <w:ind w:left="6693" w:hanging="360"/>
      </w:pPr>
    </w:lvl>
    <w:lvl w:ilvl="7" w:tplc="04150019" w:tentative="1">
      <w:start w:val="1"/>
      <w:numFmt w:val="lowerLetter"/>
      <w:lvlText w:val="%8."/>
      <w:lvlJc w:val="left"/>
      <w:pPr>
        <w:ind w:left="7413" w:hanging="360"/>
      </w:pPr>
    </w:lvl>
    <w:lvl w:ilvl="8" w:tplc="0415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5" w15:restartNumberingAfterBreak="0">
    <w:nsid w:val="3FA60AD6"/>
    <w:multiLevelType w:val="hybridMultilevel"/>
    <w:tmpl w:val="DCEAA872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 w15:restartNumberingAfterBreak="0">
    <w:nsid w:val="4CC323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E6516B8"/>
    <w:multiLevelType w:val="hybridMultilevel"/>
    <w:tmpl w:val="9DCE6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12649"/>
    <w:multiLevelType w:val="hybridMultilevel"/>
    <w:tmpl w:val="0A52559C"/>
    <w:lvl w:ilvl="0" w:tplc="58923D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F11EF"/>
    <w:multiLevelType w:val="hybridMultilevel"/>
    <w:tmpl w:val="5528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E757F"/>
    <w:multiLevelType w:val="hybridMultilevel"/>
    <w:tmpl w:val="84A8C7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7C5B14F1"/>
    <w:multiLevelType w:val="hybridMultilevel"/>
    <w:tmpl w:val="4BF2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390696">
    <w:abstractNumId w:val="10"/>
  </w:num>
  <w:num w:numId="2" w16cid:durableId="1276712830">
    <w:abstractNumId w:val="7"/>
  </w:num>
  <w:num w:numId="3" w16cid:durableId="182478391">
    <w:abstractNumId w:val="5"/>
  </w:num>
  <w:num w:numId="4" w16cid:durableId="1089815076">
    <w:abstractNumId w:val="2"/>
  </w:num>
  <w:num w:numId="5" w16cid:durableId="475685286">
    <w:abstractNumId w:val="3"/>
  </w:num>
  <w:num w:numId="6" w16cid:durableId="1561281720">
    <w:abstractNumId w:val="4"/>
  </w:num>
  <w:num w:numId="7" w16cid:durableId="846560116">
    <w:abstractNumId w:val="0"/>
  </w:num>
  <w:num w:numId="8" w16cid:durableId="6835356">
    <w:abstractNumId w:val="8"/>
  </w:num>
  <w:num w:numId="9" w16cid:durableId="1634798107">
    <w:abstractNumId w:val="11"/>
  </w:num>
  <w:num w:numId="10" w16cid:durableId="987830238">
    <w:abstractNumId w:val="1"/>
  </w:num>
  <w:num w:numId="11" w16cid:durableId="5279603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715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995"/>
    <w:rsid w:val="00002F0C"/>
    <w:rsid w:val="0000703F"/>
    <w:rsid w:val="000357E3"/>
    <w:rsid w:val="000536E9"/>
    <w:rsid w:val="00085F05"/>
    <w:rsid w:val="00087AC2"/>
    <w:rsid w:val="000A124D"/>
    <w:rsid w:val="000C2D13"/>
    <w:rsid w:val="000D063A"/>
    <w:rsid w:val="000F7814"/>
    <w:rsid w:val="0010302F"/>
    <w:rsid w:val="001474AF"/>
    <w:rsid w:val="001522E6"/>
    <w:rsid w:val="0015353C"/>
    <w:rsid w:val="00172A4A"/>
    <w:rsid w:val="00173EE9"/>
    <w:rsid w:val="001D53FE"/>
    <w:rsid w:val="001E28DB"/>
    <w:rsid w:val="001F2B0A"/>
    <w:rsid w:val="00226A4E"/>
    <w:rsid w:val="00294E8B"/>
    <w:rsid w:val="002E218E"/>
    <w:rsid w:val="0030240E"/>
    <w:rsid w:val="003528D1"/>
    <w:rsid w:val="00377047"/>
    <w:rsid w:val="00383165"/>
    <w:rsid w:val="003A52D3"/>
    <w:rsid w:val="003C37CC"/>
    <w:rsid w:val="00426A62"/>
    <w:rsid w:val="004B4DCC"/>
    <w:rsid w:val="00533F02"/>
    <w:rsid w:val="005566F1"/>
    <w:rsid w:val="005724B4"/>
    <w:rsid w:val="00574B6E"/>
    <w:rsid w:val="0062535C"/>
    <w:rsid w:val="00647E3D"/>
    <w:rsid w:val="006908EA"/>
    <w:rsid w:val="006B25DB"/>
    <w:rsid w:val="006D57BD"/>
    <w:rsid w:val="006E08B7"/>
    <w:rsid w:val="006E54B7"/>
    <w:rsid w:val="00721A46"/>
    <w:rsid w:val="0077460A"/>
    <w:rsid w:val="007B1803"/>
    <w:rsid w:val="0082543A"/>
    <w:rsid w:val="00857D73"/>
    <w:rsid w:val="008674C3"/>
    <w:rsid w:val="008B5995"/>
    <w:rsid w:val="008C4204"/>
    <w:rsid w:val="00926B96"/>
    <w:rsid w:val="00936EA0"/>
    <w:rsid w:val="00953D05"/>
    <w:rsid w:val="00971352"/>
    <w:rsid w:val="00973063"/>
    <w:rsid w:val="009B337F"/>
    <w:rsid w:val="009B6FDD"/>
    <w:rsid w:val="00A36C5C"/>
    <w:rsid w:val="00AB0420"/>
    <w:rsid w:val="00AD1FBC"/>
    <w:rsid w:val="00AF4C14"/>
    <w:rsid w:val="00B665E5"/>
    <w:rsid w:val="00BA7816"/>
    <w:rsid w:val="00BC4D59"/>
    <w:rsid w:val="00BC5957"/>
    <w:rsid w:val="00BD7F2F"/>
    <w:rsid w:val="00C237DA"/>
    <w:rsid w:val="00C263A0"/>
    <w:rsid w:val="00C94DB8"/>
    <w:rsid w:val="00C96764"/>
    <w:rsid w:val="00CC042E"/>
    <w:rsid w:val="00CE23B1"/>
    <w:rsid w:val="00CE7685"/>
    <w:rsid w:val="00D33E61"/>
    <w:rsid w:val="00D4379A"/>
    <w:rsid w:val="00D47542"/>
    <w:rsid w:val="00D72DD7"/>
    <w:rsid w:val="00D831D8"/>
    <w:rsid w:val="00D94C86"/>
    <w:rsid w:val="00DE3D9B"/>
    <w:rsid w:val="00DF0CDF"/>
    <w:rsid w:val="00E21925"/>
    <w:rsid w:val="00E2311B"/>
    <w:rsid w:val="00E32ACF"/>
    <w:rsid w:val="00E478B3"/>
    <w:rsid w:val="00E82BC4"/>
    <w:rsid w:val="00EC57AF"/>
    <w:rsid w:val="00EE26F2"/>
    <w:rsid w:val="00F104F2"/>
    <w:rsid w:val="00F40DBD"/>
    <w:rsid w:val="00F575E0"/>
    <w:rsid w:val="00F6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C355"/>
  <w15:chartTrackingRefBased/>
  <w15:docId w15:val="{853CF407-0398-4B84-B74E-48AFB699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995"/>
    <w:pPr>
      <w:spacing w:after="0" w:line="240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8B5995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umerowanie Znak,L1 Znak,Akapit z listą5 Znak"/>
    <w:basedOn w:val="Domylnaczcionkaakapitu"/>
    <w:link w:val="Akapitzlist"/>
    <w:uiPriority w:val="34"/>
    <w:rsid w:val="008B5995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1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18E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C0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42E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C04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42E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652</Words>
  <Characters>3914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Dutka, Jarek</dc:creator>
  <cp:keywords/>
  <dc:description/>
  <cp:lastModifiedBy>Barbara Banko</cp:lastModifiedBy>
  <cp:revision>38</cp:revision>
  <cp:lastPrinted>2019-01-21T13:37:00Z</cp:lastPrinted>
  <dcterms:created xsi:type="dcterms:W3CDTF">2021-03-02T14:43:00Z</dcterms:created>
  <dcterms:modified xsi:type="dcterms:W3CDTF">2022-07-12T10:24:00Z</dcterms:modified>
</cp:coreProperties>
</file>